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229.949997pt;margin-top:.338691pt;width:.5pt;height:90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1590039</wp:posOffset>
            </wp:positionH>
            <wp:positionV relativeFrom="paragraph">
              <wp:posOffset>68436</wp:posOffset>
            </wp:positionV>
            <wp:extent cx="823595" cy="10236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99"/>
        </w:rPr>
        <w:t>SIARAN</w:t>
      </w:r>
      <w:r>
        <w:rPr>
          <w:color w:val="003399"/>
          <w:spacing w:val="-5"/>
        </w:rPr>
        <w:t> </w:t>
      </w:r>
      <w:r>
        <w:rPr>
          <w:color w:val="003399"/>
        </w:rPr>
        <w:t>PERS</w:t>
      </w:r>
    </w:p>
    <w:p>
      <w:pPr>
        <w:spacing w:line="267" w:lineRule="exact" w:before="119"/>
        <w:ind w:left="4530" w:right="700" w:firstLine="0"/>
        <w:jc w:val="center"/>
        <w:rPr>
          <w:sz w:val="22"/>
        </w:rPr>
      </w:pPr>
      <w:r>
        <w:rPr>
          <w:sz w:val="22"/>
        </w:rPr>
        <w:t>Biro</w:t>
      </w:r>
      <w:r>
        <w:rPr>
          <w:spacing w:val="-1"/>
          <w:sz w:val="22"/>
        </w:rPr>
        <w:t> </w:t>
      </w:r>
      <w:r>
        <w:rPr>
          <w:sz w:val="22"/>
        </w:rPr>
        <w:t>Hubungan</w:t>
      </w:r>
      <w:r>
        <w:rPr>
          <w:spacing w:val="-4"/>
          <w:sz w:val="22"/>
        </w:rPr>
        <w:t> </w:t>
      </w:r>
      <w:r>
        <w:rPr>
          <w:sz w:val="22"/>
        </w:rPr>
        <w:t>Masyarakat</w:t>
      </w:r>
    </w:p>
    <w:p>
      <w:pPr>
        <w:spacing w:line="237" w:lineRule="auto" w:before="1"/>
        <w:ind w:left="4530" w:right="700" w:firstLine="0"/>
        <w:jc w:val="center"/>
        <w:rPr>
          <w:sz w:val="22"/>
        </w:rPr>
      </w:pPr>
      <w:r>
        <w:rPr>
          <w:sz w:val="22"/>
        </w:rPr>
        <w:t>Gd. I Lt. 2, Jl. M.I. Ridwan Rais No. 5, Jakarta 10110</w:t>
      </w:r>
      <w:r>
        <w:rPr>
          <w:spacing w:val="-47"/>
          <w:sz w:val="22"/>
        </w:rPr>
        <w:t> </w:t>
      </w:r>
      <w:r>
        <w:rPr>
          <w:sz w:val="22"/>
        </w:rPr>
        <w:t>Telp:</w:t>
      </w:r>
      <w:r>
        <w:rPr>
          <w:spacing w:val="-4"/>
          <w:sz w:val="22"/>
        </w:rPr>
        <w:t> </w:t>
      </w:r>
      <w:r>
        <w:rPr>
          <w:sz w:val="22"/>
        </w:rPr>
        <w:t>021-3860371/Fax:</w:t>
      </w:r>
      <w:r>
        <w:rPr>
          <w:spacing w:val="-3"/>
          <w:sz w:val="22"/>
        </w:rPr>
        <w:t> </w:t>
      </w:r>
      <w:r>
        <w:rPr>
          <w:sz w:val="22"/>
        </w:rPr>
        <w:t>021-3508711</w:t>
      </w:r>
    </w:p>
    <w:p>
      <w:pPr>
        <w:spacing w:before="1" w:after="5"/>
        <w:ind w:left="4530" w:right="699" w:firstLine="0"/>
        <w:jc w:val="center"/>
        <w:rPr>
          <w:sz w:val="22"/>
        </w:rPr>
      </w:pPr>
      <w:hyperlink r:id="rId7">
        <w:r>
          <w:rPr>
            <w:color w:val="0461C1"/>
            <w:sz w:val="22"/>
            <w:u w:val="single" w:color="0461C1"/>
          </w:rPr>
          <w:t>www.kemendag.go.id</w:t>
        </w:r>
      </w:hyperlink>
    </w:p>
    <w:p>
      <w:pPr>
        <w:pStyle w:val="BodyText"/>
        <w:ind w:left="4532"/>
        <w:rPr>
          <w:sz w:val="20"/>
        </w:rPr>
      </w:pPr>
      <w:r>
        <w:rPr>
          <w:sz w:val="20"/>
        </w:rPr>
        <w:drawing>
          <wp:inline distT="0" distB="0" distL="0" distR="0">
            <wp:extent cx="609600" cy="990600"/>
            <wp:effectExtent l="0" t="0" r="0" b="0"/>
            <wp:docPr id="5" name="image3.png" descr="D:\RENO\2023\20230319 AEM Retreat\RILIS\20230321 Rilis Gala Dinner\1. ASEAN INDONESIA 2023 LOGO - PRIMARY CONFIGURATION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0"/>
        <w:ind w:left="2386" w:right="1228" w:hanging="1064"/>
        <w:jc w:val="left"/>
        <w:rPr>
          <w:b/>
          <w:sz w:val="32"/>
        </w:rPr>
      </w:pPr>
      <w:r>
        <w:rPr>
          <w:b/>
          <w:sz w:val="32"/>
        </w:rPr>
        <w:t>Jamin Kualitas Produk Bahan Bangunan dan Konstruksi,</w:t>
      </w:r>
      <w:r>
        <w:rPr>
          <w:b/>
          <w:spacing w:val="-70"/>
          <w:sz w:val="32"/>
        </w:rPr>
        <w:t> </w:t>
      </w:r>
      <w:r>
        <w:rPr>
          <w:b/>
          <w:sz w:val="32"/>
        </w:rPr>
        <w:t>Mendag Zulkifli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Hasan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Teken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MRA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BCM</w:t>
      </w:r>
    </w:p>
    <w:p>
      <w:pPr>
        <w:pStyle w:val="BodyText"/>
        <w:spacing w:before="242"/>
        <w:ind w:left="192" w:right="109"/>
        <w:jc w:val="both"/>
      </w:pPr>
      <w:r>
        <w:rPr>
          <w:b/>
        </w:rPr>
        <w:t>Semarang, 20 Agustus 2023 </w:t>
      </w:r>
      <w:r>
        <w:rPr/>
        <w:t>– Menteri Perdagangan Zulkifli Hasan menandatangani Pengaturan</w:t>
      </w:r>
      <w:r>
        <w:rPr>
          <w:spacing w:val="1"/>
        </w:rPr>
        <w:t> </w:t>
      </w:r>
      <w:r>
        <w:rPr/>
        <w:t>Pengakuan Bersama ASEAN untuk Bahan Bangunan dan Konstruksi (ASEAN Mutual Recognition</w:t>
      </w:r>
      <w:r>
        <w:rPr>
          <w:spacing w:val="1"/>
        </w:rPr>
        <w:t> </w:t>
      </w:r>
      <w:r>
        <w:rPr/>
        <w:t>Arrangements for Building and Construction Materials/MRA BCM) di Semarang, Jawa Tengah pada</w:t>
      </w:r>
      <w:r>
        <w:rPr>
          <w:spacing w:val="-52"/>
        </w:rPr>
        <w:t> </w:t>
      </w:r>
      <w:r>
        <w:rPr/>
        <w:t>hari ini, Minggu (20/8). Penandatanganan dilakukan di sela-sela rangkaian Pertemuan ke-55 para</w:t>
      </w:r>
      <w:r>
        <w:rPr>
          <w:spacing w:val="1"/>
        </w:rPr>
        <w:t> </w:t>
      </w:r>
      <w:r>
        <w:rPr/>
        <w:t>Menteri</w:t>
      </w:r>
      <w:r>
        <w:rPr>
          <w:spacing w:val="-3"/>
        </w:rPr>
        <w:t> </w:t>
      </w:r>
      <w:r>
        <w:rPr/>
        <w:t>Ekonomi</w:t>
      </w:r>
      <w:r>
        <w:rPr>
          <w:spacing w:val="-1"/>
        </w:rPr>
        <w:t> </w:t>
      </w:r>
      <w:r>
        <w:rPr/>
        <w:t>ASEAN (55th ASEAN</w:t>
      </w:r>
      <w:r>
        <w:rPr>
          <w:spacing w:val="-1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Ministers’/AEM</w:t>
      </w:r>
      <w:r>
        <w:rPr>
          <w:spacing w:val="2"/>
        </w:rPr>
        <w:t> </w:t>
      </w:r>
      <w:r>
        <w:rPr/>
        <w:t>Meeting).</w:t>
      </w:r>
    </w:p>
    <w:p>
      <w:pPr>
        <w:pStyle w:val="BodyText"/>
        <w:spacing w:before="10"/>
        <w:rPr>
          <w:sz w:val="18"/>
        </w:rPr>
      </w:pPr>
    </w:p>
    <w:p>
      <w:pPr>
        <w:spacing w:line="237" w:lineRule="auto" w:before="1"/>
        <w:ind w:left="192" w:right="109" w:firstLine="0"/>
        <w:jc w:val="both"/>
        <w:rPr>
          <w:sz w:val="24"/>
        </w:rPr>
      </w:pPr>
      <w:r>
        <w:rPr>
          <w:rFonts w:ascii="Symbol" w:hAnsi="Symbol"/>
          <w:sz w:val="25"/>
        </w:rPr>
        <w:t></w:t>
      </w:r>
      <w:r>
        <w:rPr>
          <w:i/>
          <w:sz w:val="24"/>
        </w:rPr>
        <w:t>MRA BCM merupakan komitmen pengakuan bersama atas sertifikasi penilaian bahan bangunan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 konstruksi di antara negara anggota ASEAN. Penandatanganan MRA BCM diharapkan dapat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mengurangi biaya tambahan dan menjamin kualitas produk yang baik,</w:t>
      </w:r>
      <w:r>
        <w:rPr>
          <w:rFonts w:ascii="Symbol" w:hAnsi="Symbol"/>
          <w:sz w:val="25"/>
        </w:rPr>
        <w:t></w:t>
      </w:r>
      <w:r>
        <w:rPr>
          <w:rFonts w:ascii="Times New Roman" w:hAnsi="Times New Roman"/>
          <w:spacing w:val="1"/>
          <w:sz w:val="25"/>
        </w:rPr>
        <w:t> </w:t>
      </w:r>
      <w:r>
        <w:rPr>
          <w:sz w:val="24"/>
        </w:rPr>
        <w:t>jelas Mendag Zulkifli</w:t>
      </w:r>
      <w:r>
        <w:rPr>
          <w:spacing w:val="1"/>
          <w:sz w:val="24"/>
        </w:rPr>
        <w:t> </w:t>
      </w:r>
      <w:r>
        <w:rPr>
          <w:sz w:val="24"/>
        </w:rPr>
        <w:t>Hasan.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92" w:right="112"/>
        <w:jc w:val="both"/>
      </w:pPr>
      <w:r>
        <w:rPr/>
        <w:t>Mendag</w:t>
      </w:r>
      <w:r>
        <w:rPr>
          <w:spacing w:val="1"/>
        </w:rPr>
        <w:t> </w:t>
      </w:r>
      <w:r>
        <w:rPr/>
        <w:t>Zulkifli</w:t>
      </w:r>
      <w:r>
        <w:rPr>
          <w:spacing w:val="1"/>
        </w:rPr>
        <w:t> </w:t>
      </w:r>
      <w:r>
        <w:rPr/>
        <w:t>Hasan</w:t>
      </w:r>
      <w:r>
        <w:rPr>
          <w:spacing w:val="1"/>
        </w:rPr>
        <w:t> </w:t>
      </w:r>
      <w:r>
        <w:rPr/>
        <w:t>mengatakan,</w:t>
      </w:r>
      <w:r>
        <w:rPr>
          <w:spacing w:val="1"/>
        </w:rPr>
        <w:t> </w:t>
      </w:r>
      <w:r>
        <w:rPr/>
        <w:t>MRA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mengeliminasi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hambatan perdagangan. Selain itu, meningkatkan standar fasilitas pengujian kelayakan sesama</w:t>
      </w:r>
      <w:r>
        <w:rPr>
          <w:spacing w:val="1"/>
        </w:rPr>
        <w:t> </w:t>
      </w:r>
      <w:r>
        <w:rPr/>
        <w:t>negara</w:t>
      </w:r>
      <w:r>
        <w:rPr>
          <w:spacing w:val="-1"/>
        </w:rPr>
        <w:t> </w:t>
      </w:r>
      <w:r>
        <w:rPr/>
        <w:t>ASEAN.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92" w:right="118" w:firstLine="0"/>
        <w:jc w:val="both"/>
        <w:rPr>
          <w:sz w:val="24"/>
        </w:rPr>
      </w:pPr>
      <w:r>
        <w:rPr>
          <w:i/>
          <w:sz w:val="24"/>
        </w:rPr>
        <w:t>“MRA dapat membantu mengurangi biaya yang dikeluarkan eksportir untuk laporan pengujian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serta meningkatkan kepastian akses pasar. Pelaku usaha juga mendapatkan jaminan akan kualitas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produk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telah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diuji sesuai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persyaratan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MRA,” </w:t>
      </w:r>
      <w:r>
        <w:rPr>
          <w:sz w:val="24"/>
        </w:rPr>
        <w:t>imbuh</w:t>
      </w:r>
      <w:r>
        <w:rPr>
          <w:spacing w:val="-1"/>
          <w:sz w:val="24"/>
        </w:rPr>
        <w:t> </w:t>
      </w:r>
      <w:r>
        <w:rPr>
          <w:sz w:val="24"/>
        </w:rPr>
        <w:t>Mendag</w:t>
      </w:r>
      <w:r>
        <w:rPr>
          <w:spacing w:val="-1"/>
          <w:sz w:val="24"/>
        </w:rPr>
        <w:t> </w:t>
      </w:r>
      <w:r>
        <w:rPr>
          <w:sz w:val="24"/>
        </w:rPr>
        <w:t>Zulkifli</w:t>
      </w:r>
      <w:r>
        <w:rPr>
          <w:spacing w:val="-1"/>
          <w:sz w:val="24"/>
        </w:rPr>
        <w:t> </w:t>
      </w:r>
      <w:r>
        <w:rPr>
          <w:sz w:val="24"/>
        </w:rPr>
        <w:t>Hasan.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92" w:right="109"/>
        <w:jc w:val="both"/>
      </w:pPr>
      <w:r>
        <w:rPr/>
        <w:t>ASEAN</w:t>
      </w:r>
      <w:r>
        <w:rPr>
          <w:spacing w:val="1"/>
        </w:rPr>
        <w:t> </w:t>
      </w:r>
      <w:r>
        <w:rPr/>
        <w:t>Consultative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(ACCSQ)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Building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Construction Working Group (BCWG) telah menegosiasikan penyusunan MRA on BCM sejak 2012</w:t>
      </w:r>
      <w:r>
        <w:rPr>
          <w:spacing w:val="1"/>
        </w:rPr>
        <w:t> </w:t>
      </w:r>
      <w:r>
        <w:rPr/>
        <w:t>silam. Pada</w:t>
      </w:r>
      <w:r>
        <w:rPr>
          <w:spacing w:val="-3"/>
        </w:rPr>
        <w:t> </w:t>
      </w:r>
      <w:r>
        <w:rPr/>
        <w:t>implementasinya, MRA</w:t>
      </w:r>
      <w:r>
        <w:rPr>
          <w:spacing w:val="-1"/>
        </w:rPr>
        <w:t> </w:t>
      </w:r>
      <w:r>
        <w:rPr/>
        <w:t>BCM</w:t>
      </w:r>
      <w:r>
        <w:rPr>
          <w:spacing w:val="-1"/>
        </w:rPr>
        <w:t> </w:t>
      </w:r>
      <w:r>
        <w:rPr/>
        <w:t>sendiri</w:t>
      </w:r>
      <w:r>
        <w:rPr>
          <w:spacing w:val="-3"/>
        </w:rPr>
        <w:t> </w:t>
      </w:r>
      <w:r>
        <w:rPr/>
        <w:t>terdiri</w:t>
      </w:r>
      <w:r>
        <w:rPr>
          <w:spacing w:val="-2"/>
        </w:rPr>
        <w:t> </w:t>
      </w:r>
      <w:r>
        <w:rPr/>
        <w:t>dari</w:t>
      </w:r>
      <w:r>
        <w:rPr>
          <w:spacing w:val="-3"/>
        </w:rPr>
        <w:t> </w:t>
      </w:r>
      <w:r>
        <w:rPr/>
        <w:t>tiga</w:t>
      </w:r>
      <w:r>
        <w:rPr>
          <w:spacing w:val="-2"/>
        </w:rPr>
        <w:t> </w:t>
      </w:r>
      <w:r>
        <w:rPr/>
        <w:t>belas</w:t>
      </w:r>
      <w:r>
        <w:rPr>
          <w:spacing w:val="-3"/>
        </w:rPr>
        <w:t> </w:t>
      </w:r>
      <w:r>
        <w:rPr/>
        <w:t>pasal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tiga</w:t>
      </w:r>
      <w:r>
        <w:rPr>
          <w:spacing w:val="1"/>
        </w:rPr>
        <w:t> </w:t>
      </w:r>
      <w:r>
        <w:rPr/>
        <w:t>lampiran.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592" w:top="1120" w:bottom="780" w:left="940" w:right="1020"/>
          <w:pgNumType w:start="1"/>
        </w:sectPr>
      </w:pPr>
    </w:p>
    <w:p>
      <w:pPr>
        <w:tabs>
          <w:tab w:pos="5146" w:val="left" w:leader="none"/>
        </w:tabs>
        <w:spacing w:line="240" w:lineRule="auto"/>
        <w:ind w:left="43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824105" cy="1879092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105" cy="187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824741" cy="1879092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741" cy="187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52"/>
        <w:ind w:left="887" w:right="791"/>
        <w:jc w:val="center"/>
      </w:pPr>
      <w:r>
        <w:rPr/>
        <w:t>--selesai--</w:t>
      </w:r>
    </w:p>
    <w:p>
      <w:pPr>
        <w:pStyle w:val="BodyText"/>
        <w:spacing w:before="10" w:after="1"/>
        <w:rPr>
          <w:sz w:val="22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4"/>
        <w:gridCol w:w="5235"/>
      </w:tblGrid>
      <w:tr>
        <w:trPr>
          <w:trHeight w:val="1713" w:hRule="atLeast"/>
        </w:trPr>
        <w:tc>
          <w:tcPr>
            <w:tcW w:w="4284" w:type="dxa"/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Informasi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lebih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lanjut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hubungi:</w:t>
            </w:r>
          </w:p>
          <w:p>
            <w:pPr>
              <w:pStyle w:val="TableParagraph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Ani Mulyati</w:t>
            </w:r>
          </w:p>
          <w:p>
            <w:pPr>
              <w:pStyle w:val="TableParagraph"/>
              <w:spacing w:line="247" w:lineRule="auto" w:before="7"/>
              <w:ind w:right="911"/>
              <w:rPr>
                <w:b/>
                <w:sz w:val="22"/>
              </w:rPr>
            </w:pPr>
            <w:r>
              <w:rPr>
                <w:b/>
                <w:sz w:val="22"/>
              </w:rPr>
              <w:t>Kepala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Biro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Hubungan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Masyarakat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Kementerian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Perdagangan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8"/>
                <w:sz w:val="22"/>
              </w:rPr>
              <w:t> </w:t>
            </w:r>
            <w:hyperlink r:id="rId11">
              <w:r>
                <w:rPr>
                  <w:color w:val="0000FF"/>
                  <w:sz w:val="22"/>
                  <w:u w:val="single" w:color="0000FF"/>
                </w:rPr>
                <w:t>pusathumas@kemendag.go.id</w:t>
              </w:r>
            </w:hyperlink>
          </w:p>
        </w:tc>
        <w:tc>
          <w:tcPr>
            <w:tcW w:w="5235" w:type="dxa"/>
          </w:tcPr>
          <w:p>
            <w:pPr>
              <w:pStyle w:val="TableParagraph"/>
              <w:spacing w:before="3"/>
              <w:ind w:left="0"/>
              <w:rPr>
                <w:sz w:val="28"/>
              </w:rPr>
            </w:pPr>
          </w:p>
          <w:p>
            <w:pPr>
              <w:pStyle w:val="TableParagraph"/>
              <w:ind w:left="764"/>
              <w:rPr>
                <w:b/>
                <w:sz w:val="22"/>
              </w:rPr>
            </w:pPr>
            <w:r>
              <w:rPr>
                <w:b/>
                <w:sz w:val="22"/>
              </w:rPr>
              <w:t>Dina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Kurniasari</w:t>
            </w:r>
          </w:p>
          <w:p>
            <w:pPr>
              <w:pStyle w:val="TableParagraph"/>
              <w:spacing w:before="7"/>
              <w:ind w:left="764"/>
              <w:rPr>
                <w:b/>
                <w:sz w:val="22"/>
              </w:rPr>
            </w:pPr>
            <w:r>
              <w:rPr>
                <w:b/>
                <w:sz w:val="22"/>
              </w:rPr>
              <w:t>Direktur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Perundingan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ASEAN</w:t>
            </w:r>
          </w:p>
          <w:p>
            <w:pPr>
              <w:pStyle w:val="TableParagraph"/>
              <w:spacing w:line="247" w:lineRule="auto" w:before="8"/>
              <w:ind w:left="764" w:right="180"/>
              <w:rPr>
                <w:b/>
                <w:sz w:val="22"/>
              </w:rPr>
            </w:pPr>
            <w:r>
              <w:rPr>
                <w:b/>
                <w:sz w:val="22"/>
              </w:rPr>
              <w:t>Ditjen Perundingan Perdagangan Internasional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Kementerian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Perdagangan</w:t>
            </w:r>
          </w:p>
          <w:p>
            <w:pPr>
              <w:pStyle w:val="TableParagraph"/>
              <w:spacing w:line="243" w:lineRule="exact"/>
              <w:ind w:left="764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4"/>
                <w:sz w:val="22"/>
              </w:rPr>
              <w:t> </w:t>
            </w:r>
            <w:hyperlink r:id="rId12">
              <w:r>
                <w:rPr>
                  <w:color w:val="0000FF"/>
                  <w:sz w:val="22"/>
                  <w:u w:val="single" w:color="0000FF"/>
                </w:rPr>
                <w:t>asean@kemendag.go.id</w:t>
              </w:r>
            </w:hyperlink>
          </w:p>
        </w:tc>
      </w:tr>
    </w:tbl>
    <w:sectPr>
      <w:pgSz w:w="11910" w:h="16840"/>
      <w:pgMar w:header="0" w:footer="592" w:top="1120" w:bottom="780" w:left="9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7904">
          <wp:simplePos x="0" y="0"/>
          <wp:positionH relativeFrom="page">
            <wp:posOffset>1045375</wp:posOffset>
          </wp:positionH>
          <wp:positionV relativeFrom="page">
            <wp:posOffset>10189209</wp:posOffset>
          </wp:positionV>
          <wp:extent cx="5489266" cy="1752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9266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4530" w:right="728"/>
      <w:jc w:val="center"/>
    </w:pPr>
    <w:rPr>
      <w:rFonts w:ascii="Calibri" w:hAnsi="Calibri" w:eastAsia="Calibri" w:cs="Calibri"/>
      <w:b/>
      <w:bCs/>
      <w:sz w:val="36"/>
      <w:szCs w:val="36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yperlink" Target="http://www.kemendag.go.id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yperlink" Target="mailto:pusathumas@kemendag.go.id" TargetMode="External"/><Relationship Id="rId12" Type="http://schemas.openxmlformats.org/officeDocument/2006/relationships/hyperlink" Target="mailto:asean@kemendag.go.id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2023-08-21T07:04:55Z</dcterms:created>
  <dcterms:modified xsi:type="dcterms:W3CDTF">2023-08-21T07:04:55Z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